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1C7" w:rsidRPr="0032431D" w:rsidRDefault="001B11C7" w:rsidP="0013773A">
      <w:pPr>
        <w:pStyle w:val="Caption"/>
        <w:jc w:val="center"/>
      </w:pPr>
      <w:bookmarkStart w:id="0" w:name="_GoBack"/>
      <w:bookmarkEnd w:id="0"/>
      <w:r w:rsidRPr="0032431D">
        <w:t>Academy for Academic Personnel Administration</w:t>
      </w:r>
    </w:p>
    <w:p w:rsidR="001B11C7" w:rsidRPr="0032431D" w:rsidRDefault="00694D36">
      <w:pPr>
        <w:widowControl w:val="0"/>
        <w:autoSpaceDE w:val="0"/>
        <w:jc w:val="center"/>
        <w:rPr>
          <w:rFonts w:asciiTheme="minorHAnsi" w:hAnsiTheme="minorHAnsi" w:cstheme="minorHAnsi"/>
          <w:b/>
          <w:bCs/>
        </w:rPr>
      </w:pPr>
      <w:r w:rsidRPr="0032431D">
        <w:rPr>
          <w:rFonts w:asciiTheme="minorHAnsi" w:hAnsiTheme="minorHAnsi" w:cstheme="minorHAnsi"/>
          <w:b/>
          <w:bCs/>
        </w:rPr>
        <w:t xml:space="preserve">Fall </w:t>
      </w:r>
      <w:r w:rsidR="00B03248">
        <w:rPr>
          <w:rFonts w:asciiTheme="minorHAnsi" w:hAnsiTheme="minorHAnsi" w:cstheme="minorHAnsi"/>
          <w:b/>
          <w:bCs/>
        </w:rPr>
        <w:t>2015</w:t>
      </w:r>
    </w:p>
    <w:p w:rsidR="001B11C7" w:rsidRPr="0032431D" w:rsidRDefault="001B11C7">
      <w:pPr>
        <w:widowControl w:val="0"/>
        <w:autoSpaceDE w:val="0"/>
        <w:jc w:val="center"/>
        <w:rPr>
          <w:rFonts w:asciiTheme="minorHAnsi" w:hAnsiTheme="minorHAnsi" w:cstheme="minorHAnsi"/>
          <w:b/>
          <w:bCs/>
        </w:rPr>
      </w:pPr>
      <w:r w:rsidRPr="0032431D">
        <w:rPr>
          <w:rFonts w:asciiTheme="minorHAnsi" w:hAnsiTheme="minorHAnsi" w:cstheme="minorHAnsi"/>
          <w:b/>
          <w:bCs/>
        </w:rPr>
        <w:t>Round Table Report</w:t>
      </w:r>
    </w:p>
    <w:p w:rsidR="001B11C7" w:rsidRPr="00E26085" w:rsidRDefault="001B11C7">
      <w:pPr>
        <w:widowControl w:val="0"/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1B11C7" w:rsidRPr="00E26085" w:rsidRDefault="001B11C7">
      <w:pPr>
        <w:widowControl w:val="0"/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  <w:r w:rsidRPr="00E26085">
        <w:rPr>
          <w:rFonts w:asciiTheme="minorHAnsi" w:hAnsiTheme="minorHAnsi" w:cstheme="minorHAnsi"/>
          <w:b/>
          <w:bCs/>
          <w:sz w:val="22"/>
          <w:szCs w:val="22"/>
        </w:rPr>
        <w:t>1.  Institution Information</w:t>
      </w:r>
    </w:p>
    <w:p w:rsidR="001B11C7" w:rsidRPr="00E26085" w:rsidRDefault="001B11C7">
      <w:pPr>
        <w:widowControl w:val="0"/>
        <w:autoSpaceDE w:val="0"/>
        <w:rPr>
          <w:rFonts w:asciiTheme="minorHAnsi" w:hAnsiTheme="minorHAnsi" w:cstheme="minorHAnsi"/>
          <w:sz w:val="22"/>
          <w:szCs w:val="22"/>
        </w:rPr>
      </w:pPr>
      <w:r w:rsidRPr="00E26085">
        <w:rPr>
          <w:rFonts w:asciiTheme="minorHAnsi" w:hAnsiTheme="minorHAnsi" w:cstheme="minorHAnsi"/>
          <w:sz w:val="22"/>
          <w:szCs w:val="22"/>
        </w:rPr>
        <w:t xml:space="preserve">Name of Institution/System: </w:t>
      </w:r>
      <w:r w:rsidR="005635DC" w:rsidRPr="00E26085">
        <w:rPr>
          <w:rFonts w:asciiTheme="minorHAnsi" w:hAnsiTheme="minorHAnsi" w:cstheme="minorHAnsi"/>
          <w:sz w:val="22"/>
          <w:szCs w:val="22"/>
        </w:rPr>
        <w:t xml:space="preserve"> </w:t>
      </w:r>
      <w:r w:rsidR="005635DC" w:rsidRPr="00E26085">
        <w:rPr>
          <w:rFonts w:asciiTheme="minorHAnsi" w:hAnsiTheme="minorHAnsi" w:cstheme="minorHAnsi"/>
          <w:sz w:val="22"/>
          <w:szCs w:val="22"/>
        </w:rPr>
        <w:tab/>
      </w:r>
      <w:r w:rsidR="005635DC" w:rsidRPr="00E26085">
        <w:rPr>
          <w:rFonts w:asciiTheme="minorHAnsi" w:hAnsiTheme="minorHAnsi" w:cstheme="minorHAnsi"/>
          <w:sz w:val="22"/>
          <w:szCs w:val="22"/>
        </w:rPr>
        <w:tab/>
      </w:r>
      <w:r w:rsidR="005635DC" w:rsidRPr="00E26085">
        <w:rPr>
          <w:rFonts w:asciiTheme="minorHAnsi" w:hAnsiTheme="minorHAnsi" w:cstheme="minorHAnsi"/>
          <w:sz w:val="22"/>
          <w:szCs w:val="22"/>
        </w:rPr>
        <w:tab/>
        <w:t>Seminole State College of Florida</w:t>
      </w:r>
    </w:p>
    <w:p w:rsidR="005635DC" w:rsidRPr="00E26085" w:rsidRDefault="001B11C7">
      <w:pPr>
        <w:widowControl w:val="0"/>
        <w:autoSpaceDE w:val="0"/>
        <w:rPr>
          <w:rFonts w:asciiTheme="minorHAnsi" w:hAnsiTheme="minorHAnsi" w:cstheme="minorHAnsi"/>
          <w:sz w:val="22"/>
          <w:szCs w:val="22"/>
        </w:rPr>
      </w:pPr>
      <w:r w:rsidRPr="00E26085">
        <w:rPr>
          <w:rFonts w:asciiTheme="minorHAnsi" w:hAnsiTheme="minorHAnsi" w:cstheme="minorHAnsi"/>
          <w:sz w:val="22"/>
          <w:szCs w:val="22"/>
        </w:rPr>
        <w:t xml:space="preserve">Name </w:t>
      </w:r>
      <w:r w:rsidR="00C70888" w:rsidRPr="00E26085">
        <w:rPr>
          <w:rFonts w:asciiTheme="minorHAnsi" w:hAnsiTheme="minorHAnsi" w:cstheme="minorHAnsi"/>
          <w:sz w:val="22"/>
          <w:szCs w:val="22"/>
        </w:rPr>
        <w:t xml:space="preserve">and Title </w:t>
      </w:r>
      <w:r w:rsidRPr="00E26085">
        <w:rPr>
          <w:rFonts w:asciiTheme="minorHAnsi" w:hAnsiTheme="minorHAnsi" w:cstheme="minorHAnsi"/>
          <w:sz w:val="22"/>
          <w:szCs w:val="22"/>
        </w:rPr>
        <w:t xml:space="preserve">of Individual Responding: </w:t>
      </w:r>
      <w:r w:rsidR="005635DC" w:rsidRPr="00E26085">
        <w:rPr>
          <w:rFonts w:asciiTheme="minorHAnsi" w:hAnsiTheme="minorHAnsi" w:cstheme="minorHAnsi"/>
          <w:sz w:val="22"/>
          <w:szCs w:val="22"/>
        </w:rPr>
        <w:t xml:space="preserve"> </w:t>
      </w:r>
      <w:r w:rsidR="005635DC" w:rsidRPr="00E26085">
        <w:rPr>
          <w:rFonts w:asciiTheme="minorHAnsi" w:hAnsiTheme="minorHAnsi" w:cstheme="minorHAnsi"/>
          <w:sz w:val="22"/>
          <w:szCs w:val="22"/>
        </w:rPr>
        <w:tab/>
        <w:t>Claudia Salvano</w:t>
      </w:r>
    </w:p>
    <w:p w:rsidR="001B11C7" w:rsidRPr="00E26085" w:rsidRDefault="00E26CEF">
      <w:pPr>
        <w:widowControl w:val="0"/>
        <w:autoSpaceDE w:val="0"/>
        <w:rPr>
          <w:rFonts w:asciiTheme="minorHAnsi" w:hAnsiTheme="minorHAnsi" w:cstheme="minorHAnsi"/>
          <w:sz w:val="22"/>
          <w:szCs w:val="22"/>
        </w:rPr>
      </w:pPr>
      <w:r w:rsidRPr="00E26085">
        <w:rPr>
          <w:rFonts w:asciiTheme="minorHAnsi" w:hAnsiTheme="minorHAnsi" w:cstheme="minorHAnsi"/>
          <w:sz w:val="22"/>
          <w:szCs w:val="22"/>
        </w:rPr>
        <w:tab/>
      </w:r>
      <w:r w:rsidRPr="00E26085">
        <w:rPr>
          <w:rFonts w:asciiTheme="minorHAnsi" w:hAnsiTheme="minorHAnsi" w:cstheme="minorHAnsi"/>
          <w:sz w:val="22"/>
          <w:szCs w:val="22"/>
        </w:rPr>
        <w:tab/>
      </w:r>
      <w:r w:rsidRPr="00E26085">
        <w:rPr>
          <w:rFonts w:asciiTheme="minorHAnsi" w:hAnsiTheme="minorHAnsi" w:cstheme="minorHAnsi"/>
          <w:sz w:val="22"/>
          <w:szCs w:val="22"/>
        </w:rPr>
        <w:tab/>
      </w:r>
      <w:r w:rsidRPr="00E26085">
        <w:rPr>
          <w:rFonts w:asciiTheme="minorHAnsi" w:hAnsiTheme="minorHAnsi" w:cstheme="minorHAnsi"/>
          <w:sz w:val="22"/>
          <w:szCs w:val="22"/>
        </w:rPr>
        <w:tab/>
      </w:r>
      <w:r w:rsidRPr="00E26085">
        <w:rPr>
          <w:rFonts w:asciiTheme="minorHAnsi" w:hAnsiTheme="minorHAnsi" w:cstheme="minorHAnsi"/>
          <w:sz w:val="22"/>
          <w:szCs w:val="22"/>
        </w:rPr>
        <w:tab/>
      </w:r>
      <w:r w:rsidRPr="00E26085">
        <w:rPr>
          <w:rFonts w:asciiTheme="minorHAnsi" w:hAnsiTheme="minorHAnsi" w:cstheme="minorHAnsi"/>
          <w:sz w:val="22"/>
          <w:szCs w:val="22"/>
        </w:rPr>
        <w:tab/>
        <w:t xml:space="preserve">Director, </w:t>
      </w:r>
      <w:r w:rsidR="005635DC" w:rsidRPr="00E26085">
        <w:rPr>
          <w:rFonts w:asciiTheme="minorHAnsi" w:hAnsiTheme="minorHAnsi" w:cstheme="minorHAnsi"/>
          <w:sz w:val="22"/>
          <w:szCs w:val="22"/>
        </w:rPr>
        <w:t>Policy and Labor Relations</w:t>
      </w:r>
    </w:p>
    <w:p w:rsidR="001B11C7" w:rsidRPr="00E26085" w:rsidRDefault="001B11C7">
      <w:pPr>
        <w:widowControl w:val="0"/>
        <w:autoSpaceDE w:val="0"/>
        <w:rPr>
          <w:rFonts w:asciiTheme="minorHAnsi" w:hAnsiTheme="minorHAnsi" w:cstheme="minorHAnsi"/>
          <w:sz w:val="22"/>
          <w:szCs w:val="22"/>
        </w:rPr>
      </w:pPr>
    </w:p>
    <w:p w:rsidR="001B11C7" w:rsidRPr="00E26085" w:rsidRDefault="0032431D">
      <w:pPr>
        <w:widowControl w:val="0"/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  <w:r w:rsidRPr="00E26085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1B11C7" w:rsidRPr="00E26085">
        <w:rPr>
          <w:rFonts w:asciiTheme="minorHAnsi" w:hAnsiTheme="minorHAnsi" w:cstheme="minorHAnsi"/>
          <w:b/>
          <w:bCs/>
          <w:sz w:val="22"/>
          <w:szCs w:val="22"/>
        </w:rPr>
        <w:t>. Description of Faculty Bargaining Unit(s) – Size and Composition</w:t>
      </w:r>
    </w:p>
    <w:p w:rsidR="001B11C7" w:rsidRPr="00E26085" w:rsidRDefault="00A7137F" w:rsidP="0032431D">
      <w:pPr>
        <w:rPr>
          <w:rFonts w:asciiTheme="minorHAnsi" w:hAnsiTheme="minorHAnsi" w:cstheme="minorHAnsi"/>
          <w:sz w:val="22"/>
          <w:szCs w:val="22"/>
        </w:rPr>
      </w:pPr>
      <w:r w:rsidRPr="00E26085">
        <w:rPr>
          <w:rFonts w:asciiTheme="minorHAnsi" w:hAnsiTheme="minorHAnsi" w:cstheme="minorHAnsi"/>
          <w:sz w:val="22"/>
          <w:szCs w:val="22"/>
        </w:rPr>
        <w:t xml:space="preserve">The bargaining unit includes </w:t>
      </w:r>
      <w:r w:rsidR="00B75901">
        <w:rPr>
          <w:rFonts w:asciiTheme="minorHAnsi" w:hAnsiTheme="minorHAnsi" w:cstheme="minorHAnsi"/>
          <w:sz w:val="22"/>
          <w:szCs w:val="22"/>
        </w:rPr>
        <w:t xml:space="preserve">approx. </w:t>
      </w:r>
      <w:r w:rsidRPr="00E26085">
        <w:rPr>
          <w:rFonts w:asciiTheme="minorHAnsi" w:hAnsiTheme="minorHAnsi" w:cstheme="minorHAnsi"/>
          <w:sz w:val="22"/>
          <w:szCs w:val="22"/>
        </w:rPr>
        <w:t>21</w:t>
      </w:r>
      <w:r w:rsidR="00B75901">
        <w:rPr>
          <w:rFonts w:asciiTheme="minorHAnsi" w:hAnsiTheme="minorHAnsi" w:cstheme="minorHAnsi"/>
          <w:sz w:val="22"/>
          <w:szCs w:val="22"/>
        </w:rPr>
        <w:t>5</w:t>
      </w:r>
      <w:r w:rsidR="00E26CEF" w:rsidRPr="00E26085">
        <w:rPr>
          <w:rFonts w:asciiTheme="minorHAnsi" w:hAnsiTheme="minorHAnsi" w:cstheme="minorHAnsi"/>
          <w:sz w:val="22"/>
          <w:szCs w:val="22"/>
        </w:rPr>
        <w:t xml:space="preserve"> full-time teaching faculty, librarians, counselors, professors/directors, and professor/program managers employed in regular (</w:t>
      </w:r>
      <w:r w:rsidR="00B03248">
        <w:rPr>
          <w:rFonts w:asciiTheme="minorHAnsi" w:hAnsiTheme="minorHAnsi" w:cstheme="minorHAnsi"/>
          <w:sz w:val="22"/>
          <w:szCs w:val="22"/>
        </w:rPr>
        <w:t>continuing contract or continuing contract</w:t>
      </w:r>
      <w:r w:rsidR="00E26CEF" w:rsidRPr="00E26085">
        <w:rPr>
          <w:rFonts w:asciiTheme="minorHAnsi" w:hAnsiTheme="minorHAnsi" w:cstheme="minorHAnsi"/>
          <w:sz w:val="22"/>
          <w:szCs w:val="22"/>
        </w:rPr>
        <w:t>-track</w:t>
      </w:r>
      <w:r w:rsidR="00B03248">
        <w:rPr>
          <w:rFonts w:asciiTheme="minorHAnsi" w:hAnsiTheme="minorHAnsi" w:cstheme="minorHAnsi"/>
          <w:sz w:val="22"/>
          <w:szCs w:val="22"/>
        </w:rPr>
        <w:t>)</w:t>
      </w:r>
      <w:r w:rsidR="00E26CEF" w:rsidRPr="00E26085">
        <w:rPr>
          <w:rFonts w:asciiTheme="minorHAnsi" w:hAnsiTheme="minorHAnsi" w:cstheme="minorHAnsi"/>
          <w:sz w:val="22"/>
          <w:szCs w:val="22"/>
        </w:rPr>
        <w:t xml:space="preserve"> positions. Excluded </w:t>
      </w:r>
      <w:r w:rsidR="00F744B1">
        <w:rPr>
          <w:rFonts w:asciiTheme="minorHAnsi" w:hAnsiTheme="minorHAnsi" w:cstheme="minorHAnsi"/>
          <w:sz w:val="22"/>
          <w:szCs w:val="22"/>
        </w:rPr>
        <w:t xml:space="preserve">from the unit </w:t>
      </w:r>
      <w:r w:rsidR="00E26CEF" w:rsidRPr="00E26085">
        <w:rPr>
          <w:rFonts w:asciiTheme="minorHAnsi" w:hAnsiTheme="minorHAnsi" w:cstheme="minorHAnsi"/>
          <w:sz w:val="22"/>
          <w:szCs w:val="22"/>
        </w:rPr>
        <w:t>are temporary full-time faculty and adjunct faculty, as well as all administrators, professional, career service, and part-time personnel.</w:t>
      </w:r>
    </w:p>
    <w:p w:rsidR="001B11C7" w:rsidRPr="00E26085" w:rsidRDefault="001B11C7">
      <w:pPr>
        <w:widowControl w:val="0"/>
        <w:autoSpaceDE w:val="0"/>
        <w:rPr>
          <w:rFonts w:asciiTheme="minorHAnsi" w:hAnsiTheme="minorHAnsi" w:cstheme="minorHAnsi"/>
          <w:sz w:val="22"/>
          <w:szCs w:val="22"/>
        </w:rPr>
      </w:pPr>
    </w:p>
    <w:p w:rsidR="001B11C7" w:rsidRPr="00E26085" w:rsidRDefault="001B11C7">
      <w:pPr>
        <w:widowControl w:val="0"/>
        <w:autoSpaceDE w:val="0"/>
        <w:rPr>
          <w:rFonts w:asciiTheme="minorHAnsi" w:hAnsiTheme="minorHAnsi" w:cstheme="minorHAnsi"/>
          <w:sz w:val="22"/>
          <w:szCs w:val="22"/>
        </w:rPr>
      </w:pPr>
      <w:r w:rsidRPr="00E26085">
        <w:rPr>
          <w:rFonts w:asciiTheme="minorHAnsi" w:hAnsiTheme="minorHAnsi" w:cstheme="minorHAnsi"/>
          <w:sz w:val="22"/>
          <w:szCs w:val="22"/>
        </w:rPr>
        <w:t xml:space="preserve">Bargaining Agent: </w:t>
      </w:r>
      <w:r w:rsidR="000B29C7" w:rsidRPr="00E26085">
        <w:rPr>
          <w:rFonts w:asciiTheme="minorHAnsi" w:hAnsiTheme="minorHAnsi" w:cstheme="minorHAnsi"/>
          <w:sz w:val="22"/>
          <w:szCs w:val="22"/>
        </w:rPr>
        <w:tab/>
      </w:r>
      <w:r w:rsidR="000B29C7" w:rsidRPr="00E26085">
        <w:rPr>
          <w:rFonts w:asciiTheme="minorHAnsi" w:hAnsiTheme="minorHAnsi" w:cstheme="minorHAnsi"/>
          <w:sz w:val="22"/>
          <w:szCs w:val="22"/>
        </w:rPr>
        <w:tab/>
      </w:r>
      <w:r w:rsidR="00227074" w:rsidRPr="00E26085">
        <w:rPr>
          <w:rFonts w:asciiTheme="minorHAnsi" w:hAnsiTheme="minorHAnsi" w:cstheme="minorHAnsi"/>
          <w:sz w:val="22"/>
          <w:szCs w:val="22"/>
        </w:rPr>
        <w:tab/>
      </w:r>
      <w:r w:rsidR="000B29C7" w:rsidRPr="00E26085">
        <w:rPr>
          <w:rFonts w:asciiTheme="minorHAnsi" w:hAnsiTheme="minorHAnsi" w:cstheme="minorHAnsi"/>
          <w:sz w:val="22"/>
          <w:szCs w:val="22"/>
        </w:rPr>
        <w:t>United Faculty of Florida</w:t>
      </w:r>
    </w:p>
    <w:p w:rsidR="001B11C7" w:rsidRPr="00E26085" w:rsidRDefault="001B11C7">
      <w:pPr>
        <w:widowControl w:val="0"/>
        <w:autoSpaceDE w:val="0"/>
        <w:rPr>
          <w:rFonts w:asciiTheme="minorHAnsi" w:hAnsiTheme="minorHAnsi" w:cstheme="minorHAnsi"/>
          <w:sz w:val="22"/>
          <w:szCs w:val="22"/>
        </w:rPr>
      </w:pPr>
      <w:r w:rsidRPr="00E26085">
        <w:rPr>
          <w:rFonts w:asciiTheme="minorHAnsi" w:hAnsiTheme="minorHAnsi" w:cstheme="minorHAnsi"/>
          <w:sz w:val="22"/>
          <w:szCs w:val="22"/>
        </w:rPr>
        <w:t xml:space="preserve">Date of First Contract:  </w:t>
      </w:r>
      <w:r w:rsidR="00227074" w:rsidRPr="00E26085">
        <w:rPr>
          <w:rFonts w:asciiTheme="minorHAnsi" w:hAnsiTheme="minorHAnsi" w:cstheme="minorHAnsi"/>
          <w:sz w:val="22"/>
          <w:szCs w:val="22"/>
        </w:rPr>
        <w:tab/>
      </w:r>
      <w:r w:rsidR="00227074" w:rsidRPr="00E26085">
        <w:rPr>
          <w:rFonts w:asciiTheme="minorHAnsi" w:hAnsiTheme="minorHAnsi" w:cstheme="minorHAnsi"/>
          <w:sz w:val="22"/>
          <w:szCs w:val="22"/>
        </w:rPr>
        <w:tab/>
      </w:r>
      <w:r w:rsidR="007908CF">
        <w:rPr>
          <w:rFonts w:asciiTheme="minorHAnsi" w:hAnsiTheme="minorHAnsi" w:cstheme="minorHAnsi"/>
          <w:sz w:val="22"/>
          <w:szCs w:val="22"/>
        </w:rPr>
        <w:tab/>
      </w:r>
      <w:r w:rsidR="00227074" w:rsidRPr="00E26085">
        <w:rPr>
          <w:rFonts w:asciiTheme="minorHAnsi" w:hAnsiTheme="minorHAnsi" w:cstheme="minorHAnsi"/>
          <w:sz w:val="22"/>
          <w:szCs w:val="22"/>
        </w:rPr>
        <w:t>Still negotiating</w:t>
      </w:r>
      <w:r w:rsidR="0013773A">
        <w:rPr>
          <w:rFonts w:asciiTheme="minorHAnsi" w:hAnsiTheme="minorHAnsi" w:cstheme="minorHAnsi"/>
          <w:sz w:val="22"/>
          <w:szCs w:val="22"/>
        </w:rPr>
        <w:t xml:space="preserve"> (Union was certified in October 2010)</w:t>
      </w:r>
    </w:p>
    <w:p w:rsidR="001B11C7" w:rsidRPr="00E26085" w:rsidRDefault="001B11C7">
      <w:pPr>
        <w:widowControl w:val="0"/>
        <w:autoSpaceDE w:val="0"/>
        <w:rPr>
          <w:rFonts w:asciiTheme="minorHAnsi" w:hAnsiTheme="minorHAnsi" w:cstheme="minorHAnsi"/>
          <w:sz w:val="22"/>
          <w:szCs w:val="22"/>
        </w:rPr>
      </w:pPr>
      <w:r w:rsidRPr="00E26085">
        <w:rPr>
          <w:rFonts w:asciiTheme="minorHAnsi" w:hAnsiTheme="minorHAnsi" w:cstheme="minorHAnsi"/>
          <w:sz w:val="22"/>
          <w:szCs w:val="22"/>
        </w:rPr>
        <w:t xml:space="preserve">Number of Succeeding Contracts:  </w:t>
      </w:r>
      <w:r w:rsidR="00227074" w:rsidRPr="00E26085">
        <w:rPr>
          <w:rFonts w:asciiTheme="minorHAnsi" w:hAnsiTheme="minorHAnsi" w:cstheme="minorHAnsi"/>
          <w:sz w:val="22"/>
          <w:szCs w:val="22"/>
        </w:rPr>
        <w:tab/>
        <w:t>0</w:t>
      </w:r>
    </w:p>
    <w:p w:rsidR="00C70888" w:rsidRPr="00E26085" w:rsidRDefault="00C70888">
      <w:pPr>
        <w:widowControl w:val="0"/>
        <w:autoSpaceDE w:val="0"/>
        <w:rPr>
          <w:rFonts w:asciiTheme="minorHAnsi" w:hAnsiTheme="minorHAnsi" w:cstheme="minorHAnsi"/>
          <w:sz w:val="22"/>
          <w:szCs w:val="22"/>
        </w:rPr>
      </w:pPr>
      <w:r w:rsidRPr="00E26085">
        <w:rPr>
          <w:rFonts w:asciiTheme="minorHAnsi" w:hAnsiTheme="minorHAnsi" w:cstheme="minorHAnsi"/>
          <w:sz w:val="22"/>
          <w:szCs w:val="22"/>
        </w:rPr>
        <w:t xml:space="preserve">Web address of current contract: </w:t>
      </w:r>
      <w:r w:rsidR="00B30A45" w:rsidRPr="00E26085">
        <w:rPr>
          <w:rFonts w:asciiTheme="minorHAnsi" w:hAnsiTheme="minorHAnsi" w:cstheme="minorHAnsi"/>
          <w:sz w:val="22"/>
          <w:szCs w:val="22"/>
        </w:rPr>
        <w:tab/>
        <w:t>No contract</w:t>
      </w:r>
      <w:r w:rsidR="0013773A">
        <w:rPr>
          <w:rFonts w:asciiTheme="minorHAnsi" w:hAnsiTheme="minorHAnsi" w:cstheme="minorHAnsi"/>
          <w:sz w:val="22"/>
          <w:szCs w:val="22"/>
        </w:rPr>
        <w:t>;</w:t>
      </w:r>
      <w:r w:rsidR="00B30A45" w:rsidRPr="00E26085">
        <w:rPr>
          <w:rFonts w:asciiTheme="minorHAnsi" w:hAnsiTheme="minorHAnsi" w:cstheme="minorHAnsi"/>
          <w:sz w:val="22"/>
          <w:szCs w:val="22"/>
        </w:rPr>
        <w:t xml:space="preserve"> TAs and other information are at </w:t>
      </w:r>
      <w:hyperlink r:id="rId7" w:history="1">
        <w:r w:rsidR="00B30A45" w:rsidRPr="00E26085">
          <w:rPr>
            <w:rStyle w:val="Hyperlink"/>
            <w:rFonts w:asciiTheme="minorHAnsi" w:hAnsiTheme="minorHAnsi" w:cstheme="minorHAnsi"/>
            <w:sz w:val="22"/>
            <w:szCs w:val="22"/>
          </w:rPr>
          <w:t>http://www.seminolestate.edu/legal-affairs/collective-bargaining.php</w:t>
        </w:r>
      </w:hyperlink>
    </w:p>
    <w:p w:rsidR="0032431D" w:rsidRPr="00E26085" w:rsidRDefault="0032431D">
      <w:pPr>
        <w:widowControl w:val="0"/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1B11C7" w:rsidRPr="00E26085" w:rsidRDefault="001B11C7">
      <w:pPr>
        <w:widowControl w:val="0"/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  <w:r w:rsidRPr="00E26085">
        <w:rPr>
          <w:rFonts w:asciiTheme="minorHAnsi" w:hAnsiTheme="minorHAnsi" w:cstheme="minorHAnsi"/>
          <w:b/>
          <w:bCs/>
          <w:sz w:val="22"/>
          <w:szCs w:val="22"/>
        </w:rPr>
        <w:t>3. Activity Report (e.g., status of current agreement or negotiations, details of last contract settlement, etc.):</w:t>
      </w:r>
    </w:p>
    <w:p w:rsidR="00FD7EF5" w:rsidRDefault="0032431D" w:rsidP="009D1826">
      <w:pPr>
        <w:rPr>
          <w:rFonts w:asciiTheme="minorHAnsi" w:hAnsiTheme="minorHAnsi" w:cstheme="minorHAnsi"/>
          <w:sz w:val="22"/>
          <w:szCs w:val="22"/>
        </w:rPr>
      </w:pPr>
      <w:r w:rsidRPr="00E26085">
        <w:rPr>
          <w:rFonts w:asciiTheme="minorHAnsi" w:hAnsiTheme="minorHAnsi" w:cstheme="minorHAnsi"/>
          <w:sz w:val="22"/>
          <w:szCs w:val="22"/>
        </w:rPr>
        <w:t>T</w:t>
      </w:r>
      <w:r w:rsidR="00A60E54" w:rsidRPr="00E26085">
        <w:rPr>
          <w:rFonts w:asciiTheme="minorHAnsi" w:hAnsiTheme="minorHAnsi" w:cstheme="minorHAnsi"/>
          <w:sz w:val="22"/>
          <w:szCs w:val="22"/>
        </w:rPr>
        <w:t xml:space="preserve">he Union and College </w:t>
      </w:r>
      <w:r w:rsidRPr="00E26085">
        <w:rPr>
          <w:rFonts w:asciiTheme="minorHAnsi" w:hAnsiTheme="minorHAnsi" w:cstheme="minorHAnsi"/>
          <w:sz w:val="22"/>
          <w:szCs w:val="22"/>
        </w:rPr>
        <w:t xml:space="preserve">bargaining teams </w:t>
      </w:r>
      <w:r w:rsidR="00A60E54" w:rsidRPr="00E26085">
        <w:rPr>
          <w:rFonts w:asciiTheme="minorHAnsi" w:hAnsiTheme="minorHAnsi" w:cstheme="minorHAnsi"/>
          <w:sz w:val="22"/>
          <w:szCs w:val="22"/>
        </w:rPr>
        <w:t xml:space="preserve">have met </w:t>
      </w:r>
      <w:r w:rsidR="009D1826">
        <w:rPr>
          <w:rFonts w:asciiTheme="minorHAnsi" w:hAnsiTheme="minorHAnsi" w:cstheme="minorHAnsi"/>
          <w:sz w:val="22"/>
          <w:szCs w:val="22"/>
        </w:rPr>
        <w:t>72+</w:t>
      </w:r>
      <w:r w:rsidR="00A60E54" w:rsidRPr="00E26085">
        <w:rPr>
          <w:rFonts w:asciiTheme="minorHAnsi" w:hAnsiTheme="minorHAnsi" w:cstheme="minorHAnsi"/>
          <w:sz w:val="22"/>
          <w:szCs w:val="22"/>
        </w:rPr>
        <w:t xml:space="preserve"> times </w:t>
      </w:r>
      <w:r w:rsidR="003C2C93" w:rsidRPr="00E26085">
        <w:rPr>
          <w:rFonts w:asciiTheme="minorHAnsi" w:hAnsiTheme="minorHAnsi" w:cstheme="minorHAnsi"/>
          <w:sz w:val="22"/>
          <w:szCs w:val="22"/>
        </w:rPr>
        <w:t xml:space="preserve">since bargaining began in February 2011. </w:t>
      </w:r>
      <w:r w:rsidR="00C50AB1">
        <w:rPr>
          <w:rFonts w:asciiTheme="minorHAnsi" w:hAnsiTheme="minorHAnsi" w:cstheme="minorHAnsi"/>
          <w:sz w:val="22"/>
          <w:szCs w:val="22"/>
        </w:rPr>
        <w:t>W</w:t>
      </w:r>
      <w:r w:rsidR="00EC03FB">
        <w:rPr>
          <w:rFonts w:asciiTheme="minorHAnsi" w:hAnsiTheme="minorHAnsi" w:cstheme="minorHAnsi"/>
          <w:sz w:val="22"/>
          <w:szCs w:val="22"/>
        </w:rPr>
        <w:t>e</w:t>
      </w:r>
      <w:r w:rsidR="00C50AB1">
        <w:rPr>
          <w:rFonts w:asciiTheme="minorHAnsi" w:hAnsiTheme="minorHAnsi" w:cstheme="minorHAnsi"/>
          <w:sz w:val="22"/>
          <w:szCs w:val="22"/>
        </w:rPr>
        <w:t xml:space="preserve"> reached our </w:t>
      </w:r>
      <w:r w:rsidR="009D1826">
        <w:rPr>
          <w:rFonts w:asciiTheme="minorHAnsi" w:hAnsiTheme="minorHAnsi" w:cstheme="minorHAnsi"/>
          <w:sz w:val="22"/>
          <w:szCs w:val="22"/>
        </w:rPr>
        <w:t>26</w:t>
      </w:r>
      <w:r w:rsidR="00C50AB1" w:rsidRPr="00C50AB1">
        <w:rPr>
          <w:rFonts w:asciiTheme="minorHAnsi" w:hAnsiTheme="minorHAnsi" w:cstheme="minorHAnsi"/>
          <w:sz w:val="22"/>
          <w:szCs w:val="22"/>
          <w:vertAlign w:val="superscript"/>
        </w:rPr>
        <w:t>th</w:t>
      </w:r>
      <w:r w:rsidR="00C50AB1">
        <w:rPr>
          <w:rFonts w:asciiTheme="minorHAnsi" w:hAnsiTheme="minorHAnsi" w:cstheme="minorHAnsi"/>
          <w:sz w:val="22"/>
          <w:szCs w:val="22"/>
        </w:rPr>
        <w:t xml:space="preserve"> tentative agreement in </w:t>
      </w:r>
      <w:r w:rsidR="009D1826">
        <w:rPr>
          <w:rFonts w:asciiTheme="minorHAnsi" w:hAnsiTheme="minorHAnsi" w:cstheme="minorHAnsi"/>
          <w:sz w:val="22"/>
          <w:szCs w:val="22"/>
        </w:rPr>
        <w:t>August 2015</w:t>
      </w:r>
      <w:r w:rsidR="00EC03FB">
        <w:rPr>
          <w:rFonts w:asciiTheme="minorHAnsi" w:hAnsiTheme="minorHAnsi" w:cstheme="minorHAnsi"/>
          <w:sz w:val="22"/>
          <w:szCs w:val="22"/>
        </w:rPr>
        <w:t>. Currently, t</w:t>
      </w:r>
      <w:r w:rsidR="00F9263B" w:rsidRPr="00E26085">
        <w:rPr>
          <w:rFonts w:asciiTheme="minorHAnsi" w:hAnsiTheme="minorHAnsi" w:cstheme="minorHAnsi"/>
          <w:sz w:val="22"/>
          <w:szCs w:val="22"/>
        </w:rPr>
        <w:t>here are 1</w:t>
      </w:r>
      <w:r w:rsidR="009D1826">
        <w:rPr>
          <w:rFonts w:asciiTheme="minorHAnsi" w:hAnsiTheme="minorHAnsi" w:cstheme="minorHAnsi"/>
          <w:sz w:val="22"/>
          <w:szCs w:val="22"/>
        </w:rPr>
        <w:t>0</w:t>
      </w:r>
      <w:r w:rsidR="00F9263B" w:rsidRPr="00E26085">
        <w:rPr>
          <w:rFonts w:asciiTheme="minorHAnsi" w:hAnsiTheme="minorHAnsi" w:cstheme="minorHAnsi"/>
          <w:sz w:val="22"/>
          <w:szCs w:val="22"/>
        </w:rPr>
        <w:t xml:space="preserve"> articles on the table</w:t>
      </w:r>
      <w:r w:rsidR="00445D97">
        <w:rPr>
          <w:rFonts w:asciiTheme="minorHAnsi" w:hAnsiTheme="minorHAnsi" w:cstheme="minorHAnsi"/>
          <w:sz w:val="22"/>
          <w:szCs w:val="22"/>
        </w:rPr>
        <w:t xml:space="preserve"> </w:t>
      </w:r>
      <w:r w:rsidR="00C50AB1">
        <w:rPr>
          <w:rFonts w:asciiTheme="minorHAnsi" w:hAnsiTheme="minorHAnsi" w:cstheme="minorHAnsi"/>
          <w:sz w:val="22"/>
          <w:szCs w:val="22"/>
        </w:rPr>
        <w:t xml:space="preserve">including </w:t>
      </w:r>
      <w:r w:rsidR="009D1826">
        <w:rPr>
          <w:rFonts w:asciiTheme="minorHAnsi" w:hAnsiTheme="minorHAnsi" w:cstheme="minorHAnsi"/>
          <w:sz w:val="22"/>
          <w:szCs w:val="22"/>
        </w:rPr>
        <w:t>appointment to continuing contract, rank and promotion, and compensation</w:t>
      </w:r>
      <w:r w:rsidR="00C50AB1">
        <w:rPr>
          <w:rFonts w:asciiTheme="minorHAnsi" w:hAnsiTheme="minorHAnsi" w:cstheme="minorHAnsi"/>
          <w:sz w:val="22"/>
          <w:szCs w:val="22"/>
        </w:rPr>
        <w:t xml:space="preserve">. </w:t>
      </w:r>
      <w:r w:rsidR="00464708">
        <w:rPr>
          <w:rFonts w:asciiTheme="minorHAnsi" w:hAnsiTheme="minorHAnsi" w:cstheme="minorHAnsi"/>
          <w:sz w:val="22"/>
          <w:szCs w:val="22"/>
        </w:rPr>
        <w:t>“Seniority” has been area of contention in a number of articles as the College does not want longevity to be the primary criteria used to determine assignments, transfers, reduction in force, recall</w:t>
      </w:r>
      <w:r w:rsidR="00E16EB8">
        <w:rPr>
          <w:rFonts w:asciiTheme="minorHAnsi" w:hAnsiTheme="minorHAnsi" w:cstheme="minorHAnsi"/>
          <w:sz w:val="22"/>
          <w:szCs w:val="22"/>
        </w:rPr>
        <w:t>, etc.</w:t>
      </w:r>
    </w:p>
    <w:p w:rsidR="001B11C7" w:rsidRPr="00E26085" w:rsidRDefault="001B11C7" w:rsidP="007908CF">
      <w:pPr>
        <w:widowControl w:val="0"/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1B11C7" w:rsidRDefault="001B11C7" w:rsidP="00073186">
      <w:pPr>
        <w:widowControl w:val="0"/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  <w:r w:rsidRPr="00E26085">
        <w:rPr>
          <w:rFonts w:asciiTheme="minorHAnsi" w:hAnsiTheme="minorHAnsi" w:cstheme="minorHAnsi"/>
          <w:b/>
          <w:bCs/>
          <w:sz w:val="22"/>
          <w:szCs w:val="22"/>
        </w:rPr>
        <w:t>4. Special or noteworthy happenings (e.g., relevant arbitration or court decisions, organizing campaigns, labor agency decisions, etc.)</w:t>
      </w:r>
    </w:p>
    <w:p w:rsidR="00087CB0" w:rsidRDefault="00087CB0" w:rsidP="00073186">
      <w:pPr>
        <w:widowControl w:val="0"/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8730C4" w:rsidRDefault="00E16EB8" w:rsidP="00E16EB8">
      <w:pPr>
        <w:widowControl w:val="0"/>
        <w:autoSpaceDE w:val="0"/>
        <w:rPr>
          <w:rFonts w:ascii="Calibri" w:hAnsi="Calibr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The Union filed a</w:t>
      </w:r>
      <w:r w:rsidR="00862BE6">
        <w:rPr>
          <w:rFonts w:asciiTheme="minorHAnsi" w:hAnsiTheme="minorHAnsi" w:cstheme="minorHAnsi"/>
          <w:bCs/>
          <w:sz w:val="22"/>
          <w:szCs w:val="22"/>
        </w:rPr>
        <w:t>n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62BE6" w:rsidRPr="00300674">
        <w:rPr>
          <w:rFonts w:ascii="Calibri" w:hAnsi="Calibri"/>
          <w:bCs/>
          <w:sz w:val="22"/>
          <w:szCs w:val="22"/>
        </w:rPr>
        <w:t>unfair labor prac</w:t>
      </w:r>
      <w:r w:rsidR="00862BE6">
        <w:rPr>
          <w:rFonts w:ascii="Calibri" w:hAnsi="Calibri"/>
          <w:bCs/>
          <w:sz w:val="22"/>
          <w:szCs w:val="22"/>
        </w:rPr>
        <w:t xml:space="preserve">tice </w:t>
      </w:r>
      <w:r w:rsidR="002218F9">
        <w:rPr>
          <w:rFonts w:asciiTheme="minorHAnsi" w:hAnsiTheme="minorHAnsi" w:cstheme="minorHAnsi"/>
          <w:bCs/>
          <w:sz w:val="22"/>
          <w:szCs w:val="22"/>
        </w:rPr>
        <w:t>charge in November 2014, claiming that the</w:t>
      </w:r>
      <w:r w:rsidRPr="00E16EB8">
        <w:rPr>
          <w:rFonts w:ascii="Calibri" w:hAnsi="Calibri"/>
          <w:bCs/>
          <w:sz w:val="22"/>
          <w:szCs w:val="22"/>
        </w:rPr>
        <w:t xml:space="preserve"> </w:t>
      </w:r>
      <w:r w:rsidR="002218F9">
        <w:rPr>
          <w:rFonts w:ascii="Calibri" w:hAnsi="Calibri"/>
          <w:bCs/>
          <w:sz w:val="22"/>
          <w:szCs w:val="22"/>
        </w:rPr>
        <w:t>“</w:t>
      </w:r>
      <w:r w:rsidRPr="00E16EB8">
        <w:rPr>
          <w:rFonts w:ascii="Calibri" w:hAnsi="Calibri"/>
          <w:bCs/>
          <w:sz w:val="22"/>
          <w:szCs w:val="22"/>
        </w:rPr>
        <w:t>College violated §447.501 (1) (c) by failing and refusing to pay step increases to the members of the bargaining unit for the 2014-2015 academic year, which commenced on August</w:t>
      </w:r>
      <w:r w:rsidR="002218F9">
        <w:rPr>
          <w:rFonts w:ascii="Calibri" w:hAnsi="Calibri"/>
          <w:bCs/>
          <w:sz w:val="22"/>
          <w:szCs w:val="22"/>
        </w:rPr>
        <w:t xml:space="preserve"> </w:t>
      </w:r>
      <w:r w:rsidRPr="00E16EB8">
        <w:rPr>
          <w:rFonts w:ascii="Calibri" w:hAnsi="Calibri"/>
          <w:bCs/>
          <w:sz w:val="22"/>
          <w:szCs w:val="22"/>
        </w:rPr>
        <w:t>25, 2014.</w:t>
      </w:r>
      <w:r w:rsidR="002218F9">
        <w:rPr>
          <w:rFonts w:ascii="Calibri" w:hAnsi="Calibri"/>
          <w:bCs/>
          <w:sz w:val="22"/>
          <w:szCs w:val="22"/>
        </w:rPr>
        <w:t>” UFF alleged that the College did not maintain the status quo</w:t>
      </w:r>
      <w:r w:rsidR="008730C4">
        <w:rPr>
          <w:rFonts w:ascii="Calibri" w:hAnsi="Calibri"/>
          <w:bCs/>
          <w:sz w:val="22"/>
          <w:szCs w:val="22"/>
        </w:rPr>
        <w:t xml:space="preserve"> and that members of the bargaining unit reasonably expected to move a step on the pay plan in August 2014 and receive a pay increase. They wanted the Commission to require the College to “immediately move employees on the plan and to make them whole for their loss of pay.”</w:t>
      </w:r>
    </w:p>
    <w:p w:rsidR="008730C4" w:rsidRDefault="008730C4" w:rsidP="00E16EB8">
      <w:pPr>
        <w:widowControl w:val="0"/>
        <w:autoSpaceDE w:val="0"/>
        <w:rPr>
          <w:rFonts w:ascii="Calibri" w:hAnsi="Calibri"/>
          <w:bCs/>
          <w:sz w:val="22"/>
          <w:szCs w:val="22"/>
        </w:rPr>
      </w:pPr>
    </w:p>
    <w:p w:rsidR="009F45F0" w:rsidRDefault="008730C4" w:rsidP="00E16EB8">
      <w:pPr>
        <w:widowControl w:val="0"/>
        <w:autoSpaceDE w:val="0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The Hearing Officer found that</w:t>
      </w:r>
      <w:r w:rsidR="009F45F0">
        <w:rPr>
          <w:rFonts w:ascii="Calibri" w:hAnsi="Calibri"/>
          <w:bCs/>
          <w:sz w:val="22"/>
          <w:szCs w:val="22"/>
        </w:rPr>
        <w:t>:</w:t>
      </w:r>
    </w:p>
    <w:p w:rsidR="009F45F0" w:rsidRPr="009F45F0" w:rsidRDefault="009F45F0" w:rsidP="009F45F0">
      <w:pPr>
        <w:widowControl w:val="0"/>
        <w:numPr>
          <w:ilvl w:val="0"/>
          <w:numId w:val="3"/>
        </w:numPr>
        <w:autoSpaceDE w:val="0"/>
        <w:rPr>
          <w:rFonts w:asciiTheme="minorHAnsi" w:hAnsiTheme="minorHAnsi" w:cstheme="minorHAnsi"/>
          <w:sz w:val="22"/>
          <w:szCs w:val="22"/>
        </w:rPr>
      </w:pPr>
      <w:r w:rsidRPr="009F45F0">
        <w:rPr>
          <w:rFonts w:ascii="Calibri" w:hAnsi="Calibri"/>
          <w:bCs/>
          <w:sz w:val="22"/>
          <w:szCs w:val="22"/>
        </w:rPr>
        <w:t>for the 2014-2015 fiscal year, the Board acted consistently with its practice regarding wage increases;</w:t>
      </w:r>
      <w:r>
        <w:rPr>
          <w:rFonts w:ascii="Calibri" w:hAnsi="Calibri"/>
          <w:bCs/>
          <w:sz w:val="22"/>
          <w:szCs w:val="22"/>
        </w:rPr>
        <w:t xml:space="preserve"> </w:t>
      </w:r>
    </w:p>
    <w:p w:rsidR="009F45F0" w:rsidRPr="009F45F0" w:rsidRDefault="009F45F0" w:rsidP="009F45F0">
      <w:pPr>
        <w:widowControl w:val="0"/>
        <w:numPr>
          <w:ilvl w:val="0"/>
          <w:numId w:val="3"/>
        </w:numPr>
        <w:autoSpaceDE w:val="0"/>
        <w:rPr>
          <w:rFonts w:asciiTheme="minorHAnsi" w:hAnsiTheme="minorHAnsi" w:cstheme="minorHAnsi"/>
          <w:sz w:val="22"/>
          <w:szCs w:val="22"/>
        </w:rPr>
      </w:pPr>
      <w:r w:rsidRPr="009F45F0">
        <w:rPr>
          <w:rFonts w:ascii="Calibri" w:hAnsi="Calibri"/>
          <w:bCs/>
          <w:sz w:val="22"/>
          <w:szCs w:val="22"/>
        </w:rPr>
        <w:t>the Board did not unilaterally alter the status quo;</w:t>
      </w:r>
    </w:p>
    <w:p w:rsidR="00862BE6" w:rsidRPr="00862BE6" w:rsidRDefault="009F45F0" w:rsidP="00300674">
      <w:pPr>
        <w:widowControl w:val="0"/>
        <w:numPr>
          <w:ilvl w:val="0"/>
          <w:numId w:val="3"/>
        </w:numPr>
        <w:autoSpaceDE w:val="0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considering the ten-year history, faculty did not have an objective reasonable expectation of receiving a step increase;</w:t>
      </w:r>
    </w:p>
    <w:p w:rsidR="009F45F0" w:rsidRPr="00300674" w:rsidRDefault="00300674" w:rsidP="00300674">
      <w:pPr>
        <w:widowControl w:val="0"/>
        <w:numPr>
          <w:ilvl w:val="0"/>
          <w:numId w:val="3"/>
        </w:numPr>
        <w:autoSpaceDE w:val="0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the Union’s charge was frivolous, groundless, or unreasonable when filed;</w:t>
      </w:r>
      <w:r w:rsidR="00862BE6">
        <w:rPr>
          <w:rFonts w:ascii="Calibri" w:hAnsi="Calibri"/>
          <w:bCs/>
          <w:sz w:val="22"/>
          <w:szCs w:val="22"/>
        </w:rPr>
        <w:t xml:space="preserve"> and</w:t>
      </w:r>
    </w:p>
    <w:p w:rsidR="00300674" w:rsidRDefault="00300674" w:rsidP="00300674">
      <w:pPr>
        <w:widowControl w:val="0"/>
        <w:numPr>
          <w:ilvl w:val="0"/>
          <w:numId w:val="3"/>
        </w:numPr>
        <w:autoSpaceDE w:val="0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the Union continued litigation after it became clear t</w:t>
      </w:r>
      <w:r w:rsidR="00862BE6">
        <w:rPr>
          <w:rFonts w:ascii="Calibri" w:hAnsi="Calibri"/>
          <w:bCs/>
          <w:sz w:val="22"/>
          <w:szCs w:val="22"/>
        </w:rPr>
        <w:t>he charge was without merit.</w:t>
      </w:r>
    </w:p>
    <w:p w:rsidR="00300674" w:rsidRDefault="00300674" w:rsidP="00300674">
      <w:pPr>
        <w:widowControl w:val="0"/>
        <w:autoSpaceDE w:val="0"/>
        <w:rPr>
          <w:rFonts w:ascii="Calibri" w:hAnsi="Calibri"/>
          <w:bCs/>
          <w:sz w:val="22"/>
          <w:szCs w:val="22"/>
        </w:rPr>
      </w:pPr>
    </w:p>
    <w:p w:rsidR="00A40889" w:rsidRPr="009F45F0" w:rsidRDefault="00300674" w:rsidP="00300674">
      <w:pPr>
        <w:widowControl w:val="0"/>
        <w:autoSpaceDE w:val="0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The Hearing Officer stated that </w:t>
      </w:r>
      <w:r w:rsidRPr="00300674">
        <w:rPr>
          <w:rFonts w:ascii="Calibri" w:hAnsi="Calibri"/>
          <w:bCs/>
          <w:sz w:val="22"/>
          <w:szCs w:val="22"/>
        </w:rPr>
        <w:t>the unfair labor prac</w:t>
      </w:r>
      <w:r>
        <w:rPr>
          <w:rFonts w:ascii="Calibri" w:hAnsi="Calibri"/>
          <w:bCs/>
          <w:sz w:val="22"/>
          <w:szCs w:val="22"/>
        </w:rPr>
        <w:t>tice charge be dismissed</w:t>
      </w:r>
      <w:r w:rsidR="00862BE6"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sz w:val="22"/>
          <w:szCs w:val="22"/>
        </w:rPr>
        <w:t xml:space="preserve">and recommended an award of attorney’s fees and costs to the College. </w:t>
      </w:r>
      <w:r w:rsidR="00862BE6">
        <w:rPr>
          <w:rFonts w:ascii="Calibri" w:hAnsi="Calibri"/>
          <w:bCs/>
          <w:sz w:val="22"/>
          <w:szCs w:val="22"/>
        </w:rPr>
        <w:t>Upon review</w:t>
      </w:r>
      <w:r w:rsidR="00862BE6" w:rsidRPr="00862BE6">
        <w:rPr>
          <w:rFonts w:ascii="Calibri" w:hAnsi="Calibri"/>
          <w:bCs/>
          <w:sz w:val="22"/>
          <w:szCs w:val="22"/>
        </w:rPr>
        <w:t xml:space="preserve">, </w:t>
      </w:r>
      <w:r w:rsidRPr="00862BE6">
        <w:rPr>
          <w:rFonts w:asciiTheme="minorHAnsi" w:hAnsiTheme="minorHAnsi" w:cstheme="minorHAnsi"/>
          <w:bCs/>
          <w:sz w:val="22"/>
          <w:szCs w:val="22"/>
        </w:rPr>
        <w:t xml:space="preserve">PERC upheld </w:t>
      </w:r>
      <w:r w:rsidR="004A667F">
        <w:rPr>
          <w:rFonts w:asciiTheme="minorHAnsi" w:hAnsiTheme="minorHAnsi" w:cstheme="minorHAnsi"/>
          <w:bCs/>
          <w:sz w:val="22"/>
          <w:szCs w:val="22"/>
        </w:rPr>
        <w:t xml:space="preserve">all of </w:t>
      </w:r>
      <w:r w:rsidRPr="00862BE6">
        <w:rPr>
          <w:rFonts w:asciiTheme="minorHAnsi" w:hAnsiTheme="minorHAnsi" w:cstheme="minorHAnsi"/>
          <w:bCs/>
          <w:sz w:val="22"/>
          <w:szCs w:val="22"/>
        </w:rPr>
        <w:t>the Hearing Officer’s findings and recommendations</w:t>
      </w:r>
      <w:r w:rsidR="00862BE6" w:rsidRPr="00862BE6">
        <w:rPr>
          <w:rFonts w:asciiTheme="minorHAnsi" w:hAnsiTheme="minorHAnsi" w:cstheme="minorHAnsi"/>
          <w:bCs/>
          <w:sz w:val="22"/>
          <w:szCs w:val="22"/>
        </w:rPr>
        <w:t>.</w:t>
      </w:r>
      <w:r w:rsidR="00862BE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F7EF9" w:rsidRPr="009F45F0">
        <w:rPr>
          <w:rFonts w:asciiTheme="minorHAnsi" w:hAnsiTheme="minorHAnsi" w:cstheme="minorHAnsi"/>
          <w:b/>
          <w:bCs/>
          <w:sz w:val="22"/>
          <w:szCs w:val="22"/>
        </w:rPr>
        <w:br w:type="page"/>
      </w:r>
      <w:r w:rsidR="001B11C7" w:rsidRPr="009F45F0">
        <w:rPr>
          <w:rFonts w:asciiTheme="minorHAnsi" w:hAnsiTheme="minorHAnsi" w:cstheme="minorHAnsi"/>
          <w:b/>
          <w:bCs/>
          <w:sz w:val="22"/>
          <w:szCs w:val="22"/>
        </w:rPr>
        <w:lastRenderedPageBreak/>
        <w:t>5.  Special happenings related to fiscal issues (e.g., salary reductions, health and dental insurance costs, reductions in force, early retirement programs, program consolidation or elimination, etc.):</w:t>
      </w:r>
      <w:r w:rsidR="00A40889" w:rsidRPr="009F45F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91524" w:rsidRDefault="00B91524" w:rsidP="00073186">
      <w:pPr>
        <w:widowControl w:val="0"/>
        <w:autoSpaceDE w:val="0"/>
        <w:rPr>
          <w:rFonts w:asciiTheme="minorHAnsi" w:hAnsiTheme="minorHAnsi" w:cstheme="minorHAnsi"/>
          <w:sz w:val="22"/>
          <w:szCs w:val="22"/>
        </w:rPr>
      </w:pPr>
    </w:p>
    <w:p w:rsidR="00B91524" w:rsidRPr="00B91524" w:rsidRDefault="00862BE6" w:rsidP="00B9152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The</w:t>
      </w:r>
      <w:r w:rsidR="00B91524" w:rsidRPr="00B91524">
        <w:rPr>
          <w:rFonts w:ascii="Calibri" w:hAnsi="Calibri"/>
          <w:sz w:val="22"/>
          <w:szCs w:val="22"/>
        </w:rPr>
        <w:t xml:space="preserve"> College did not give raises to anyone at the beginning of the </w:t>
      </w:r>
      <w:r w:rsidR="004153A5">
        <w:rPr>
          <w:rFonts w:ascii="Calibri" w:hAnsi="Calibri"/>
          <w:sz w:val="22"/>
          <w:szCs w:val="22"/>
        </w:rPr>
        <w:t xml:space="preserve">2015 – 2016 </w:t>
      </w:r>
      <w:r w:rsidR="00B91524" w:rsidRPr="00B91524">
        <w:rPr>
          <w:rFonts w:ascii="Calibri" w:hAnsi="Calibri"/>
          <w:sz w:val="22"/>
          <w:szCs w:val="22"/>
        </w:rPr>
        <w:t xml:space="preserve">fiscal/academic year. </w:t>
      </w:r>
      <w:r w:rsidR="004A667F">
        <w:rPr>
          <w:rFonts w:ascii="Calibri" w:hAnsi="Calibri"/>
          <w:sz w:val="22"/>
          <w:szCs w:val="22"/>
        </w:rPr>
        <w:t xml:space="preserve">The College is in the process of changing from a monthly pay cycle to a semi-monthly pay cycle. </w:t>
      </w:r>
      <w:r w:rsidR="00B91524" w:rsidRPr="00B91524">
        <w:rPr>
          <w:rFonts w:ascii="Calibri" w:hAnsi="Calibri"/>
          <w:sz w:val="22"/>
          <w:szCs w:val="22"/>
        </w:rPr>
        <w:t>At the</w:t>
      </w:r>
      <w:r w:rsidR="004153A5">
        <w:rPr>
          <w:rFonts w:ascii="Calibri" w:hAnsi="Calibri"/>
          <w:sz w:val="22"/>
          <w:szCs w:val="22"/>
        </w:rPr>
        <w:t>ir meeting on</w:t>
      </w:r>
      <w:r w:rsidR="00B91524" w:rsidRPr="00B91524">
        <w:rPr>
          <w:rFonts w:ascii="Calibri" w:hAnsi="Calibri"/>
          <w:sz w:val="22"/>
          <w:szCs w:val="22"/>
        </w:rPr>
        <w:t xml:space="preserve"> October</w:t>
      </w:r>
      <w:r w:rsidR="004153A5">
        <w:rPr>
          <w:rFonts w:ascii="Calibri" w:hAnsi="Calibri"/>
          <w:sz w:val="22"/>
          <w:szCs w:val="22"/>
        </w:rPr>
        <w:t xml:space="preserve"> 19, College administrators will ask the</w:t>
      </w:r>
      <w:r w:rsidR="00B91524" w:rsidRPr="00B91524">
        <w:rPr>
          <w:rFonts w:ascii="Calibri" w:hAnsi="Calibri"/>
          <w:sz w:val="22"/>
          <w:szCs w:val="22"/>
        </w:rPr>
        <w:t xml:space="preserve"> Board</w:t>
      </w:r>
      <w:r w:rsidR="004153A5">
        <w:rPr>
          <w:rFonts w:ascii="Calibri" w:hAnsi="Calibri"/>
          <w:sz w:val="22"/>
          <w:szCs w:val="22"/>
        </w:rPr>
        <w:t xml:space="preserve"> to consider giving a one-time</w:t>
      </w:r>
      <w:r w:rsidR="004A667F">
        <w:rPr>
          <w:rFonts w:ascii="Calibri" w:hAnsi="Calibri"/>
          <w:sz w:val="22"/>
          <w:szCs w:val="22"/>
        </w:rPr>
        <w:t xml:space="preserve"> </w:t>
      </w:r>
      <w:r w:rsidR="004153A5">
        <w:rPr>
          <w:rFonts w:ascii="Calibri" w:hAnsi="Calibri"/>
          <w:sz w:val="22"/>
          <w:szCs w:val="22"/>
        </w:rPr>
        <w:t>payment</w:t>
      </w:r>
      <w:r w:rsidR="004A667F">
        <w:rPr>
          <w:rFonts w:ascii="Calibri" w:hAnsi="Calibri"/>
          <w:sz w:val="22"/>
          <w:szCs w:val="22"/>
        </w:rPr>
        <w:t>,</w:t>
      </w:r>
      <w:r w:rsidR="004153A5">
        <w:rPr>
          <w:rFonts w:ascii="Calibri" w:hAnsi="Calibri"/>
          <w:sz w:val="22"/>
          <w:szCs w:val="22"/>
        </w:rPr>
        <w:t xml:space="preserve"> </w:t>
      </w:r>
      <w:r w:rsidR="004A667F">
        <w:rPr>
          <w:rFonts w:ascii="Calibri" w:hAnsi="Calibri"/>
          <w:sz w:val="22"/>
          <w:szCs w:val="22"/>
        </w:rPr>
        <w:t xml:space="preserve">equivalent to 2-weeks’ pay, </w:t>
      </w:r>
      <w:r w:rsidR="004153A5">
        <w:rPr>
          <w:rFonts w:ascii="Calibri" w:hAnsi="Calibri"/>
          <w:sz w:val="22"/>
          <w:szCs w:val="22"/>
        </w:rPr>
        <w:t xml:space="preserve">to non-faculty who will be </w:t>
      </w:r>
      <w:r w:rsidR="004A667F">
        <w:rPr>
          <w:rFonts w:ascii="Calibri" w:hAnsi="Calibri"/>
          <w:sz w:val="22"/>
          <w:szCs w:val="22"/>
        </w:rPr>
        <w:t>moved to the</w:t>
      </w:r>
      <w:r w:rsidR="004153A5">
        <w:rPr>
          <w:rFonts w:ascii="Calibri" w:hAnsi="Calibri"/>
          <w:sz w:val="22"/>
          <w:szCs w:val="22"/>
        </w:rPr>
        <w:t xml:space="preserve"> semi-monthly payroll </w:t>
      </w:r>
      <w:r w:rsidR="004A667F">
        <w:rPr>
          <w:rFonts w:ascii="Calibri" w:hAnsi="Calibri"/>
          <w:sz w:val="22"/>
          <w:szCs w:val="22"/>
        </w:rPr>
        <w:t>cycle in January 2016.</w:t>
      </w:r>
      <w:r w:rsidR="004153A5">
        <w:rPr>
          <w:rFonts w:ascii="Calibri" w:hAnsi="Calibri"/>
          <w:sz w:val="22"/>
          <w:szCs w:val="22"/>
        </w:rPr>
        <w:t xml:space="preserve"> Faculty </w:t>
      </w:r>
      <w:r w:rsidR="004A667F">
        <w:rPr>
          <w:rFonts w:ascii="Calibri" w:hAnsi="Calibri"/>
          <w:sz w:val="22"/>
          <w:szCs w:val="22"/>
        </w:rPr>
        <w:t>are scheduled to begin t</w:t>
      </w:r>
      <w:r w:rsidR="004153A5">
        <w:rPr>
          <w:rFonts w:ascii="Calibri" w:hAnsi="Calibri"/>
          <w:sz w:val="22"/>
          <w:szCs w:val="22"/>
        </w:rPr>
        <w:t xml:space="preserve">he semi-monthly system in July 2016. </w:t>
      </w:r>
      <w:r w:rsidR="007236AC">
        <w:rPr>
          <w:rFonts w:ascii="Calibri" w:hAnsi="Calibri"/>
          <w:sz w:val="22"/>
          <w:szCs w:val="22"/>
        </w:rPr>
        <w:t>At this writing, it is unclear how and when faculty salaries will be adjusted.</w:t>
      </w:r>
    </w:p>
    <w:p w:rsidR="00B91524" w:rsidRPr="00E26085" w:rsidRDefault="00B91524" w:rsidP="00073186">
      <w:pPr>
        <w:widowControl w:val="0"/>
        <w:autoSpaceDE w:val="0"/>
        <w:rPr>
          <w:rFonts w:asciiTheme="minorHAnsi" w:hAnsiTheme="minorHAnsi" w:cstheme="minorHAnsi"/>
          <w:sz w:val="22"/>
          <w:szCs w:val="22"/>
        </w:rPr>
      </w:pPr>
    </w:p>
    <w:sectPr w:rsidR="00B91524" w:rsidRPr="00E26085" w:rsidSect="00830E1D">
      <w:footnotePr>
        <w:pos w:val="beneathText"/>
      </w:footnotePr>
      <w:type w:val="continuous"/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4E7" w:rsidRDefault="00A144E7" w:rsidP="00A60E54">
      <w:r>
        <w:separator/>
      </w:r>
    </w:p>
  </w:endnote>
  <w:endnote w:type="continuationSeparator" w:id="0">
    <w:p w:rsidR="00A144E7" w:rsidRDefault="00A144E7" w:rsidP="00A60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mbus Sans L">
    <w:altName w:val="Arial"/>
    <w:charset w:val="00"/>
    <w:family w:val="swiss"/>
    <w:pitch w:val="variable"/>
  </w:font>
  <w:font w:name="DejaVu Sans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4E7" w:rsidRDefault="00A144E7" w:rsidP="00A60E54">
      <w:r>
        <w:separator/>
      </w:r>
    </w:p>
  </w:footnote>
  <w:footnote w:type="continuationSeparator" w:id="0">
    <w:p w:rsidR="00A144E7" w:rsidRDefault="00A144E7" w:rsidP="00A60E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477756"/>
    <w:multiLevelType w:val="hybridMultilevel"/>
    <w:tmpl w:val="12DA9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CD359C"/>
    <w:multiLevelType w:val="hybridMultilevel"/>
    <w:tmpl w:val="C0D40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B3D"/>
    <w:rsid w:val="00051B3D"/>
    <w:rsid w:val="00073186"/>
    <w:rsid w:val="00087CB0"/>
    <w:rsid w:val="000B29C7"/>
    <w:rsid w:val="000D6B0B"/>
    <w:rsid w:val="0013773A"/>
    <w:rsid w:val="001521E4"/>
    <w:rsid w:val="00156AA5"/>
    <w:rsid w:val="001B11C7"/>
    <w:rsid w:val="001E1E12"/>
    <w:rsid w:val="002218F9"/>
    <w:rsid w:val="00227074"/>
    <w:rsid w:val="002839E0"/>
    <w:rsid w:val="002841A5"/>
    <w:rsid w:val="00300674"/>
    <w:rsid w:val="0032431D"/>
    <w:rsid w:val="00382FCB"/>
    <w:rsid w:val="003B0C74"/>
    <w:rsid w:val="003C2C93"/>
    <w:rsid w:val="00407CDE"/>
    <w:rsid w:val="004153A5"/>
    <w:rsid w:val="00445D97"/>
    <w:rsid w:val="00464708"/>
    <w:rsid w:val="00464A00"/>
    <w:rsid w:val="00494BDF"/>
    <w:rsid w:val="004A3BFB"/>
    <w:rsid w:val="004A667F"/>
    <w:rsid w:val="00532383"/>
    <w:rsid w:val="005635DC"/>
    <w:rsid w:val="00564790"/>
    <w:rsid w:val="005A012B"/>
    <w:rsid w:val="005E1312"/>
    <w:rsid w:val="005E1DAF"/>
    <w:rsid w:val="0064247E"/>
    <w:rsid w:val="0069177F"/>
    <w:rsid w:val="00694D36"/>
    <w:rsid w:val="006A73B9"/>
    <w:rsid w:val="007236AC"/>
    <w:rsid w:val="00753C53"/>
    <w:rsid w:val="007908CF"/>
    <w:rsid w:val="007C5E2F"/>
    <w:rsid w:val="00821038"/>
    <w:rsid w:val="00830E1D"/>
    <w:rsid w:val="00862BE6"/>
    <w:rsid w:val="008730C4"/>
    <w:rsid w:val="009065CF"/>
    <w:rsid w:val="009A1574"/>
    <w:rsid w:val="009A1FB0"/>
    <w:rsid w:val="009A7F75"/>
    <w:rsid w:val="009B0124"/>
    <w:rsid w:val="009B1A3B"/>
    <w:rsid w:val="009B7E58"/>
    <w:rsid w:val="009D1826"/>
    <w:rsid w:val="009F45F0"/>
    <w:rsid w:val="00A144E7"/>
    <w:rsid w:val="00A33D35"/>
    <w:rsid w:val="00A40889"/>
    <w:rsid w:val="00A60E54"/>
    <w:rsid w:val="00A7137F"/>
    <w:rsid w:val="00AF7EF9"/>
    <w:rsid w:val="00B03248"/>
    <w:rsid w:val="00B243E9"/>
    <w:rsid w:val="00B25A49"/>
    <w:rsid w:val="00B30A45"/>
    <w:rsid w:val="00B75901"/>
    <w:rsid w:val="00B80147"/>
    <w:rsid w:val="00B91524"/>
    <w:rsid w:val="00BD002F"/>
    <w:rsid w:val="00C04DB4"/>
    <w:rsid w:val="00C50AB1"/>
    <w:rsid w:val="00C70888"/>
    <w:rsid w:val="00CB10DB"/>
    <w:rsid w:val="00D52032"/>
    <w:rsid w:val="00DB79FD"/>
    <w:rsid w:val="00DC18B9"/>
    <w:rsid w:val="00E133D1"/>
    <w:rsid w:val="00E16EB8"/>
    <w:rsid w:val="00E26085"/>
    <w:rsid w:val="00E26CEF"/>
    <w:rsid w:val="00E50721"/>
    <w:rsid w:val="00EB55D4"/>
    <w:rsid w:val="00EC03FB"/>
    <w:rsid w:val="00EE1AE6"/>
    <w:rsid w:val="00F040D8"/>
    <w:rsid w:val="00F744B1"/>
    <w:rsid w:val="00F84A07"/>
    <w:rsid w:val="00F9263B"/>
    <w:rsid w:val="00FA29CB"/>
    <w:rsid w:val="00FC2AEB"/>
    <w:rsid w:val="00FD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7F3FCA-D55F-4B41-85F6-6595DBF84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DB4"/>
    <w:pPr>
      <w:suppressAutoHyphens/>
    </w:pPr>
    <w:rPr>
      <w:rFonts w:cs="Calibri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C04DB4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BodyText">
    <w:name w:val="Body Text"/>
    <w:basedOn w:val="Normal"/>
    <w:semiHidden/>
    <w:rsid w:val="00C04DB4"/>
    <w:pPr>
      <w:spacing w:after="120"/>
    </w:pPr>
  </w:style>
  <w:style w:type="paragraph" w:styleId="List">
    <w:name w:val="List"/>
    <w:basedOn w:val="BodyText"/>
    <w:semiHidden/>
    <w:rsid w:val="00C04DB4"/>
  </w:style>
  <w:style w:type="paragraph" w:styleId="Caption">
    <w:name w:val="caption"/>
    <w:basedOn w:val="Normal"/>
    <w:qFormat/>
    <w:rsid w:val="00C04DB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C04DB4"/>
    <w:pPr>
      <w:suppressLineNumbers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60E54"/>
    <w:pPr>
      <w:suppressAutoHyphens w:val="0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0E54"/>
    <w:rPr>
      <w:rFonts w:ascii="Calibri" w:eastAsia="Calibri" w:hAnsi="Calibri" w:cs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A60E5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30A4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D7EF5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8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eminolestate.edu/legal-affairs/collective-bargaining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3960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munroe</dc:creator>
  <cp:lastModifiedBy>Baker, Jennifer</cp:lastModifiedBy>
  <cp:revision>2</cp:revision>
  <cp:lastPrinted>2012-10-23T17:08:00Z</cp:lastPrinted>
  <dcterms:created xsi:type="dcterms:W3CDTF">2015-10-05T14:51:00Z</dcterms:created>
  <dcterms:modified xsi:type="dcterms:W3CDTF">2015-10-05T14:51:00Z</dcterms:modified>
</cp:coreProperties>
</file>